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fall of 2008 and in 2009, the Bush and Obama administrations was forced to bail out the financial industry.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use of the Electoral College impacted the strategies of presidential candidates by candidates focusing campaign strategies on winning key states rather than the nation as a whole.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Wall Street panic of 2007–2008 evoked memories of the Great Depression.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Hispanics became the nation’s second largest ethnic group in 2002.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George H. W. Bush respond so cautiously to the 1989 crackdown on protestors in Tiananmen Square because he had just signed a trade deal with China.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May 1989, an early attempt at anti-Communist liberation failed in China.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George H. W. Bush made the promise during the 1988 campaign to not raise taxes.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The North American Free Trade Agreement (NAFTA) was approved by Congress during the  administration of Clinton.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Strategic Defense Initiative (SDI) was a(n) laser-based antimissile system.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Rising oil prices in the mid 1970s led to inflation in the United States.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Nixon personally ordered the Watergate cover-up.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SALT I agreements signified that the United States and the Soviet Union were trying to settle their differences peacefully.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Nixon saw his visit to China as a first step toward achieving detente with the Soviets.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Tet Offensive convinced many Americans that the United States was not winning the war in Vietnam.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African American activism contributed to social progress for other ethnicities because other ethnic groups were inspired by African American activism and launched their own protests.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Betty Friedan’s The Feminine Mystique</w:t>
      </w:r>
      <w:r w:rsidDel="00000000" w:rsidR="00000000" w:rsidRPr="00000000">
        <w:rPr>
          <w:rtl w:val="0"/>
        </w:rPr>
        <w:t xml:space="preserve"> attacked the view that women were content with housekeeping and child-rearing.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Cesar Chavez worked to organize farm workers.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Stokeley Carmichael is credited with coining the phrase “black power.”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Most college students were able to escape the draft in the 1960s.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Voting Rights Act of 1965 banned literacy tests in states and counties in which less than half the population had voted in 1964.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Johnson’s Medicare program provided health insurance for the elderly.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 his 1964 inaugural address, Johnson pledged to wage a war on poverty.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Civil rights protests in Birmingham forced President Kennedy to openly support racial justice.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Montgomery bus boycott ended when the Supreme Court ruled that the segregated seating law was unconstitutional.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 a consequence of the Montgomery bus boycott, Martin Luther King, Jr. emerged as the leader of the new civil rights movement.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 a result of </w:t>
      </w:r>
      <w:r w:rsidDel="00000000" w:rsidR="00000000" w:rsidRPr="00000000">
        <w:rPr>
          <w:i w:val="1"/>
          <w:rtl w:val="0"/>
        </w:rPr>
        <w:t xml:space="preserve">Brown v. Board of Education of Topeka, Plessy v. Ferguson</w:t>
      </w:r>
      <w:r w:rsidDel="00000000" w:rsidR="00000000" w:rsidRPr="00000000">
        <w:rPr>
          <w:rtl w:val="0"/>
        </w:rPr>
        <w:t xml:space="preserve"> was overturned.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rtl w:val="0"/>
        </w:rPr>
        <w:t xml:space="preserve">The questioning of American life in the 1950s was most evident in race relations.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Suburban life depended on the automobile.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baby boom and the growth of suburbia were great stimulants to the consumer goods industries.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America’s economic upsurge in the 1950s was connected closely to Cold War government spending.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