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D2" w:rsidRDefault="00A83BD6">
      <w:pPr>
        <w:numPr>
          <w:ilvl w:val="0"/>
          <w:numId w:val="1"/>
        </w:numPr>
        <w:ind w:left="-630"/>
        <w:contextualSpacing/>
      </w:pPr>
      <w:r>
        <w:t>Jamestown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Plymouth</w:t>
      </w:r>
      <w:bookmarkStart w:id="0" w:name="_GoBack"/>
      <w:bookmarkEnd w:id="0"/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Mayflower Compact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Massachusetts Bay Colony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Effect of the Reformation on the colonies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Motives for colonization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proofErr w:type="spellStart"/>
      <w:r>
        <w:t>Masterless</w:t>
      </w:r>
      <w:proofErr w:type="spellEnd"/>
      <w:r>
        <w:t xml:space="preserve"> men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Powhatan &amp; Pocahontas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Uprising of 1622/</w:t>
      </w:r>
      <w:proofErr w:type="spellStart"/>
      <w:r>
        <w:t>Opechancanough</w:t>
      </w:r>
      <w:proofErr w:type="spellEnd"/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Tobacco brides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Dower rights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Effects of the spread of tobacco cultivation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Femme sole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Maryland Experiment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Moral liberty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John Winthrop &amp; City Upon a Hill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Great Migration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Puritan marriage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Puritan society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Roger Williams &amp; Rhode Island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William Penn &amp; Pennsylvania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Anne Hutchinson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Pequot War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Religious freedom in the colonies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Half-way Covenant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Rights of Englishmen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English Civil/debate over freedom &amp; the effect on the colonies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An Act Concerning Religion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proofErr w:type="spellStart"/>
      <w:r>
        <w:t>Headright</w:t>
      </w:r>
      <w:proofErr w:type="spellEnd"/>
      <w:r>
        <w:t xml:space="preserve"> system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Mercantilism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Enumerated goods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King Philip’s War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Effect of the Restoration of the Monarchy on the colonies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Effect of the English seizure of New Amsterdam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Covenant Chain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Liberties of Englishmen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 xml:space="preserve">Carolina </w:t>
      </w:r>
      <w:proofErr w:type="spellStart"/>
      <w:r>
        <w:t>headright</w:t>
      </w:r>
      <w:proofErr w:type="spellEnd"/>
      <w:r>
        <w:t xml:space="preserve"> system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Carolina society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West Jersey Concessions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New Jersey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Quaker liberty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Chain of Friendship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 xml:space="preserve">Movement away from indentured servitude </w:t>
      </w:r>
      <w:proofErr w:type="gramStart"/>
      <w:r>
        <w:t>and  towards</w:t>
      </w:r>
      <w:proofErr w:type="gramEnd"/>
      <w:r>
        <w:t xml:space="preserve"> slavery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How American slavery in the English colonies differed from previous slavery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lastRenderedPageBreak/>
        <w:t xml:space="preserve">How the law treated early </w:t>
      </w:r>
      <w:proofErr w:type="gramStart"/>
      <w:r>
        <w:t>slaves</w:t>
      </w:r>
      <w:proofErr w:type="gramEnd"/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1667 Virginia House of Burgesses ruling on owning Christian slaves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Virginia Law of 16</w:t>
      </w:r>
      <w:r>
        <w:t>62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Bacon’s Rebellion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Effect of the Glorious Revolution on the colonies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End of salutary neglect</w:t>
      </w:r>
    </w:p>
    <w:p w:rsidR="007429D2" w:rsidRDefault="00A83BD6">
      <w:pPr>
        <w:numPr>
          <w:ilvl w:val="1"/>
          <w:numId w:val="1"/>
        </w:numPr>
        <w:ind w:left="-630"/>
        <w:contextualSpacing/>
      </w:pPr>
      <w:r>
        <w:t>Revocation of the MA Bay Colony charter</w:t>
      </w:r>
    </w:p>
    <w:p w:rsidR="007429D2" w:rsidRDefault="00A83BD6">
      <w:pPr>
        <w:numPr>
          <w:ilvl w:val="1"/>
          <w:numId w:val="1"/>
        </w:numPr>
        <w:ind w:left="-630"/>
        <w:contextualSpacing/>
      </w:pPr>
      <w:r>
        <w:t>Dominion of New England 1686-1689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Maryland Uprising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Leisler’s Rebellion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Salem Witchcraft trials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Increasing diversity in the colonies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German migration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Walking Purchase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Consumer Revolution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Colonial products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Anglicization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Growth of colonial inequality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Poverty in the colonies</w:t>
      </w:r>
    </w:p>
    <w:p w:rsidR="007429D2" w:rsidRDefault="00A83BD6">
      <w:pPr>
        <w:numPr>
          <w:ilvl w:val="0"/>
          <w:numId w:val="1"/>
        </w:numPr>
        <w:ind w:left="-630"/>
        <w:contextualSpacing/>
      </w:pPr>
      <w:r>
        <w:t>Rights of women as family life/life in the colonies in general stabilized</w:t>
      </w:r>
    </w:p>
    <w:sectPr w:rsidR="007429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97E"/>
    <w:multiLevelType w:val="multilevel"/>
    <w:tmpl w:val="1DACC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D2"/>
    <w:rsid w:val="007429D2"/>
    <w:rsid w:val="00A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EA7AA-5553-4E4B-946A-D0138B0A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Kirkland</dc:creator>
  <cp:lastModifiedBy>Kristen Kirkland</cp:lastModifiedBy>
  <cp:revision>2</cp:revision>
  <dcterms:created xsi:type="dcterms:W3CDTF">2017-08-28T20:22:00Z</dcterms:created>
  <dcterms:modified xsi:type="dcterms:W3CDTF">2017-08-28T20:22:00Z</dcterms:modified>
</cp:coreProperties>
</file>